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E3" w:rsidRDefault="007F0853" w:rsidP="009764E5">
      <w:pPr>
        <w:tabs>
          <w:tab w:val="left" w:pos="1276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21</w:t>
      </w:r>
    </w:p>
    <w:p w:rsidR="005902E3" w:rsidRDefault="007F0853" w:rsidP="009764E5">
      <w:pPr>
        <w:tabs>
          <w:tab w:val="left" w:pos="1276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 приказу АО «Газпром теплоэнерго»</w:t>
      </w:r>
    </w:p>
    <w:p w:rsidR="005902E3" w:rsidRDefault="009764E5" w:rsidP="009764E5">
      <w:pPr>
        <w:tabs>
          <w:tab w:val="left" w:pos="1276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6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«04» августа </w:t>
      </w:r>
      <w:bookmarkStart w:id="0" w:name="_GoBack"/>
      <w:bookmarkEnd w:id="0"/>
      <w:r w:rsidRPr="009764E5">
        <w:rPr>
          <w:rFonts w:ascii="Times New Roman" w:eastAsia="Calibri" w:hAnsi="Times New Roman" w:cs="Times New Roman"/>
          <w:sz w:val="28"/>
          <w:szCs w:val="28"/>
          <w:lang w:eastAsia="ru-RU"/>
        </w:rPr>
        <w:t>2025 № 125-ПРК</w:t>
      </w:r>
    </w:p>
    <w:p w:rsidR="005902E3" w:rsidRDefault="005902E3">
      <w:pPr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02E3" w:rsidRDefault="007F0853">
      <w:pPr>
        <w:tabs>
          <w:tab w:val="left" w:pos="0"/>
          <w:tab w:val="left" w:pos="1276"/>
        </w:tabs>
        <w:spacing w:after="0" w:line="240" w:lineRule="auto"/>
        <w:ind w:firstLine="481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39</w:t>
      </w:r>
    </w:p>
    <w:p w:rsidR="005902E3" w:rsidRDefault="007F0853">
      <w:pPr>
        <w:tabs>
          <w:tab w:val="left" w:pos="0"/>
          <w:tab w:val="left" w:pos="127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к приказу АО «Газпром теплоэнерго»</w:t>
      </w:r>
    </w:p>
    <w:p w:rsidR="005902E3" w:rsidRDefault="007F0853">
      <w:pP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от «24» июня 2024 г. № 128-ПРК</w:t>
      </w:r>
    </w:p>
    <w:p w:rsidR="005902E3" w:rsidRDefault="005902E3">
      <w:pPr>
        <w:widowControl w:val="0"/>
        <w:tabs>
          <w:tab w:val="left" w:pos="0"/>
          <w:tab w:val="left" w:pos="127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2E3" w:rsidRDefault="007F0853">
      <w:pPr>
        <w:widowControl w:val="0"/>
        <w:tabs>
          <w:tab w:val="left" w:pos="0"/>
          <w:tab w:val="left" w:pos="1276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Типовые условия налоговой оговорки</w:t>
      </w:r>
    </w:p>
    <w:p w:rsidR="005902E3" w:rsidRDefault="005902E3">
      <w:pPr>
        <w:pStyle w:val="210"/>
        <w:rPr>
          <w:rFonts w:eastAsia="Calibri"/>
          <w:b/>
          <w:i/>
          <w:color w:val="auto"/>
          <w:sz w:val="28"/>
          <w:szCs w:val="28"/>
          <w:lang w:eastAsia="en-US"/>
        </w:rPr>
      </w:pPr>
    </w:p>
    <w:p w:rsidR="005902E3" w:rsidRDefault="007F0853">
      <w:pPr>
        <w:pStyle w:val="210"/>
        <w:ind w:firstLine="709"/>
        <w:rPr>
          <w:color w:val="auto"/>
          <w:sz w:val="28"/>
          <w:szCs w:val="28"/>
        </w:rPr>
      </w:pPr>
      <w:r>
        <w:rPr>
          <w:rFonts w:eastAsia="Calibri"/>
          <w:b/>
          <w:i/>
          <w:color w:val="auto"/>
          <w:sz w:val="28"/>
          <w:szCs w:val="28"/>
          <w:lang w:eastAsia="en-US"/>
        </w:rPr>
        <w:t>п. _____:</w:t>
      </w:r>
    </w:p>
    <w:p w:rsidR="005902E3" w:rsidRDefault="007F0853">
      <w:pPr>
        <w:pStyle w:val="210"/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Подрядчик (Исполнитель/Поставщик) обязуется возместить </w:t>
      </w:r>
      <w:bookmarkStart w:id="1" w:name="undefined"/>
      <w:r>
        <w:rPr>
          <w:color w:val="auto"/>
          <w:sz w:val="28"/>
          <w:szCs w:val="28"/>
        </w:rPr>
        <w:t>Заказчику (Покупателю)</w:t>
      </w:r>
      <w:bookmarkEnd w:id="1"/>
      <w:r>
        <w:rPr>
          <w:color w:val="auto"/>
          <w:sz w:val="28"/>
          <w:szCs w:val="28"/>
        </w:rPr>
        <w:t xml:space="preserve"> имущественные потери в соответствии со статьей 406.1 ГК РФ, связанные с наступлением следующих </w:t>
      </w:r>
      <w:r>
        <w:rPr>
          <w:color w:val="auto"/>
          <w:sz w:val="28"/>
          <w:szCs w:val="28"/>
        </w:rPr>
        <w:t>обстоятельств (или одного из указанных обстоятельств):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• отказом (полностью или частично) налогового органа в возмещении (вычете) принятых к вычету Заказчиком (Покупателем) сумм НДС по приобретенным у Подрядчика (Исполнителя/Поставщика) товарам (работам, у</w:t>
      </w:r>
      <w:r>
        <w:rPr>
          <w:color w:val="auto"/>
          <w:sz w:val="28"/>
          <w:szCs w:val="28"/>
        </w:rPr>
        <w:t>слугам, имущественным правам);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• отказом (полностью или частично) во включении в состав расходов для целей налогового учета затрат Заказчика (Покупателя) на приобретение у Подрядчика (Исполнителя/Поставщика) товаров (работ, услуг, имущественных прав).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Обст</w:t>
      </w:r>
      <w:r>
        <w:rPr>
          <w:color w:val="auto"/>
          <w:sz w:val="28"/>
          <w:szCs w:val="28"/>
        </w:rPr>
        <w:t>оятельство считается наступившим при вынесении мотивированного мнения налогового органа, либо вступлении в силу решения налогового органа, которыми доначислены суммы НДС и/или налога на прибыль организаций, либо отказано в возмещении (полностью или частичн</w:t>
      </w:r>
      <w:r>
        <w:rPr>
          <w:color w:val="auto"/>
          <w:sz w:val="28"/>
          <w:szCs w:val="28"/>
        </w:rPr>
        <w:t>о) заявленных к возмещению Заказчиком (Покупателем) сумм НДС, либо уменьшены убытки, исчисленные Заказчиком (Покупателем) при включении в состав расходов затрат, по приобретенным Заказчиком (Покупателем) у Подрядчика (Исполнителя, Поставщика) товарам (рабо</w:t>
      </w:r>
      <w:r>
        <w:rPr>
          <w:color w:val="auto"/>
          <w:sz w:val="28"/>
          <w:szCs w:val="28"/>
        </w:rPr>
        <w:t>там, услугам, имущественным правам), в том числе при привлечении Подрядчиком (Исполнителем, Поставщиком) контрагентов и/или третьих лиц (в т.ч. субподрядчиков, соисполнителей) для исполнения своих обязательств, то есть с учетом всей цепочки движения товаро</w:t>
      </w:r>
      <w:r>
        <w:rPr>
          <w:color w:val="auto"/>
          <w:sz w:val="28"/>
          <w:szCs w:val="28"/>
        </w:rPr>
        <w:t xml:space="preserve">в (работ, услуг, имущественных прав).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Соответствующий акт налогового органа (решение или мотивированное мнение) является достаточным доказательством возникновения потерь у Заказчика (Покупателя), при условии наличия в соответствующем акте налогового орган</w:t>
      </w:r>
      <w:r>
        <w:rPr>
          <w:color w:val="auto"/>
          <w:sz w:val="28"/>
          <w:szCs w:val="28"/>
        </w:rPr>
        <w:t xml:space="preserve">а описания каких-либо из следующих обстоятельств в отношении Подрядчика (Исполнителя, Поставщика), его контрагентов (субподрядчиков, соисполнителей) или иных лиц, участвующих на какой-либо из стадий движения товаров (работ, услуг, имущественных прав):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lastRenderedPageBreak/>
        <w:t>- о</w:t>
      </w:r>
      <w:r>
        <w:rPr>
          <w:color w:val="auto"/>
          <w:sz w:val="28"/>
          <w:szCs w:val="28"/>
        </w:rPr>
        <w:t>писание каких-либо нарушений в части документооборота, в том числе выставление документов, содержащих недостоверные сведения, несвоевременное составление документов, создание фиктивного документооборота, отсутствие надлежащим образом оформленных договорных</w:t>
      </w:r>
      <w:r>
        <w:rPr>
          <w:color w:val="auto"/>
          <w:sz w:val="28"/>
          <w:szCs w:val="28"/>
        </w:rPr>
        <w:t xml:space="preserve"> отношений с лицом, исполнившим обязательство по сделке;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- некорректное и (или) неполное отражение хозяйственных операций в учете;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- анализ движения денежных средств по банковским счетам;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- отсутствие технических и/или материальных ресурсо</w:t>
      </w:r>
      <w:r>
        <w:rPr>
          <w:color w:val="auto"/>
          <w:sz w:val="28"/>
          <w:szCs w:val="28"/>
        </w:rPr>
        <w:t xml:space="preserve">в для исполнения обязательств;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- неуплата налогов либо уплата налогов в минимальном объеме;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- наличие несформированного источника возмещения (вычета) НДС;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- отсутствие нахождения организации по месту регистрации;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- номинальные и/или массовые руководите</w:t>
      </w:r>
      <w:r>
        <w:rPr>
          <w:color w:val="auto"/>
          <w:sz w:val="28"/>
          <w:szCs w:val="28"/>
        </w:rPr>
        <w:t xml:space="preserve">ли/учредители организации;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- иные аналогичные обстоятельства.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Размер имущественных потерь, подлежащих возмещению Заказчику (Покупателю), определяется сторонами из расчета: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</w:rPr>
      </w:pPr>
      <w:r>
        <w:rPr>
          <w:color w:val="auto"/>
          <w:sz w:val="28"/>
          <w:szCs w:val="28"/>
        </w:rPr>
        <w:t>– 100 % от суммы НДС, в отношении которой получен отказ налогового органа в возмеще</w:t>
      </w:r>
      <w:r>
        <w:rPr>
          <w:color w:val="auto"/>
          <w:sz w:val="28"/>
          <w:szCs w:val="28"/>
        </w:rPr>
        <w:t>нии (вычете) по операциям с Подрядчиком (Исполнителем/Поставщиком);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</w:rPr>
      </w:pPr>
      <w:r>
        <w:rPr>
          <w:color w:val="auto"/>
          <w:sz w:val="28"/>
          <w:szCs w:val="28"/>
        </w:rPr>
        <w:t>– 100 % от суммы налога на прибыль, доначисленных налоговым органом Заказчику (Покупателю) по операциям с Подрядчиком (Исполнителем/Поставщиком);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– 100 % от суммы пени и штрафа, доначислен</w:t>
      </w:r>
      <w:r>
        <w:rPr>
          <w:color w:val="auto"/>
          <w:sz w:val="28"/>
          <w:szCs w:val="28"/>
        </w:rPr>
        <w:t xml:space="preserve">ных налоговым органом Заказчику (Покупателю), по операциям с Подрядчиком (Исполнителем/Поставщиком); 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</w:rPr>
      </w:pPr>
      <w:r>
        <w:rPr>
          <w:color w:val="auto"/>
          <w:sz w:val="28"/>
          <w:szCs w:val="28"/>
        </w:rPr>
        <w:t>– 25 % от суммы убытка, уменьшенного налоговым органом Заказчику (Покупателю) по операциям с Подрядчиком (Исполнителем/Поставщиком).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>При этом данная сумма</w:t>
      </w:r>
      <w:r>
        <w:rPr>
          <w:color w:val="auto"/>
          <w:sz w:val="28"/>
          <w:szCs w:val="28"/>
        </w:rPr>
        <w:t xml:space="preserve"> увеличивается на величину налога на прибыль, подлежащего уплате Заказчиком (Покупателем) в связи с получением от Подрядчика (Исполнителя/Поставщика) указанной суммы имущественных потерь таким образом, чтобы получаемая после уплаты налога на прибыль сумма </w:t>
      </w:r>
      <w:r>
        <w:rPr>
          <w:color w:val="auto"/>
          <w:sz w:val="28"/>
          <w:szCs w:val="28"/>
        </w:rPr>
        <w:t>составила 100% всех налоговых начислений Заказчику (Покупателю).</w:t>
      </w:r>
    </w:p>
    <w:p w:rsidR="005902E3" w:rsidRDefault="007F085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Подрядчик (Исполнитель/Поставщик) обязуется возместить имущественные потери Заказчика (Покупателя) в течение 30 (тридцати) календарных дней с даты выставления Заказчиком (Покупателем) счета, </w:t>
      </w:r>
      <w:r>
        <w:rPr>
          <w:color w:val="auto"/>
          <w:sz w:val="28"/>
          <w:szCs w:val="28"/>
        </w:rPr>
        <w:t>к которому прикладывается выписка из мотивированного мнения налогового органа, либо вступившего в силу решения налогового органа, которыми доначислены суммы НДС и/или налога на прибыль организаций, либо отказано в возмещении (полностью или частично) заявле</w:t>
      </w:r>
      <w:r>
        <w:rPr>
          <w:color w:val="auto"/>
          <w:sz w:val="28"/>
          <w:szCs w:val="28"/>
        </w:rPr>
        <w:t>нных к возмещению Заказчиком (Покупателем) сумм НДС по приобретенным Заказчиком (Покупателем) у Подрядчика (Исполнителя, Поставщика) товарам (работам, услугам, имущественным правам).</w:t>
      </w:r>
    </w:p>
    <w:p w:rsidR="005902E3" w:rsidRDefault="007F0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Заказчик (Покупатель) вправе удержать имущественные потери из причитающих</w:t>
      </w:r>
      <w:r>
        <w:rPr>
          <w:rFonts w:ascii="Times New Roman" w:hAnsi="Times New Roman" w:cs="Times New Roman"/>
          <w:sz w:val="28"/>
          <w:szCs w:val="28"/>
        </w:rPr>
        <w:t xml:space="preserve">ся Подрядчику (Исполнителю/Поставщику) платежей по Договору, а также из выплат, причитающихся Подрядчику </w:t>
      </w:r>
      <w:r>
        <w:rPr>
          <w:rFonts w:ascii="Times New Roman" w:hAnsi="Times New Roman" w:cs="Times New Roman"/>
          <w:sz w:val="28"/>
          <w:szCs w:val="28"/>
        </w:rPr>
        <w:lastRenderedPageBreak/>
        <w:t>(Исполнителю/Поставщику) по другим основаниям, в этом случае взаимные обязательства сторон считаются зачтенными и прекращенными в соответствующей части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2E3" w:rsidRDefault="007F085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В случае если Подрядчик </w:t>
      </w:r>
      <w:r>
        <w:rPr>
          <w:rFonts w:ascii="Times New Roman" w:hAnsi="Times New Roman" w:cs="Times New Roman"/>
          <w:sz w:val="28"/>
          <w:szCs w:val="28"/>
        </w:rPr>
        <w:t>(Исполнитель/Поставщик)</w:t>
      </w:r>
      <w:r>
        <w:rPr>
          <w:rFonts w:ascii="Times New Roman" w:hAnsi="Times New Roman"/>
          <w:sz w:val="28"/>
          <w:szCs w:val="28"/>
        </w:rPr>
        <w:t xml:space="preserve"> не использует общую систему налогообложения, то положения настоящего пункта в части НДС применяются лишь в случае потери основания для освобождения от уплаты НДС.</w:t>
      </w:r>
    </w:p>
    <w:p w:rsidR="005902E3" w:rsidRDefault="00590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2E3" w:rsidRDefault="005902E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</w:p>
    <w:p w:rsidR="005902E3" w:rsidRDefault="005902E3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</w:p>
    <w:p w:rsidR="005902E3" w:rsidRDefault="005902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02E3" w:rsidRDefault="005902E3">
      <w:pPr>
        <w:pStyle w:val="210"/>
        <w:tabs>
          <w:tab w:val="num" w:pos="1146"/>
          <w:tab w:val="left" w:pos="2160"/>
        </w:tabs>
        <w:ind w:firstLine="709"/>
        <w:rPr>
          <w:color w:val="000000" w:themeColor="text1"/>
          <w:sz w:val="28"/>
          <w:szCs w:val="28"/>
        </w:rPr>
      </w:pPr>
    </w:p>
    <w:sectPr w:rsidR="005902E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53" w:rsidRDefault="007F0853">
      <w:pPr>
        <w:spacing w:after="0" w:line="240" w:lineRule="auto"/>
      </w:pPr>
      <w:r>
        <w:separator/>
      </w:r>
    </w:p>
  </w:endnote>
  <w:endnote w:type="continuationSeparator" w:id="0">
    <w:p w:rsidR="007F0853" w:rsidRDefault="007F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53" w:rsidRDefault="007F0853">
      <w:pPr>
        <w:spacing w:after="0" w:line="240" w:lineRule="auto"/>
      </w:pPr>
      <w:r>
        <w:separator/>
      </w:r>
    </w:p>
  </w:footnote>
  <w:footnote w:type="continuationSeparator" w:id="0">
    <w:p w:rsidR="007F0853" w:rsidRDefault="007F0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2418A"/>
    <w:multiLevelType w:val="hybridMultilevel"/>
    <w:tmpl w:val="2AE02D7A"/>
    <w:lvl w:ilvl="0" w:tplc="029691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1EF4DE98">
      <w:start w:val="1"/>
      <w:numFmt w:val="lowerLetter"/>
      <w:lvlText w:val="%2."/>
      <w:lvlJc w:val="left"/>
      <w:pPr>
        <w:ind w:left="1440" w:hanging="360"/>
      </w:pPr>
    </w:lvl>
    <w:lvl w:ilvl="2" w:tplc="16FC48F2">
      <w:start w:val="1"/>
      <w:numFmt w:val="lowerRoman"/>
      <w:lvlText w:val="%3."/>
      <w:lvlJc w:val="right"/>
      <w:pPr>
        <w:ind w:left="2160" w:hanging="180"/>
      </w:pPr>
    </w:lvl>
    <w:lvl w:ilvl="3" w:tplc="FC0CE52A">
      <w:start w:val="1"/>
      <w:numFmt w:val="decimal"/>
      <w:lvlText w:val="%4."/>
      <w:lvlJc w:val="left"/>
      <w:pPr>
        <w:ind w:left="2880" w:hanging="360"/>
      </w:pPr>
    </w:lvl>
    <w:lvl w:ilvl="4" w:tplc="0BEA6CA8">
      <w:start w:val="1"/>
      <w:numFmt w:val="lowerLetter"/>
      <w:lvlText w:val="%5."/>
      <w:lvlJc w:val="left"/>
      <w:pPr>
        <w:ind w:left="3600" w:hanging="360"/>
      </w:pPr>
    </w:lvl>
    <w:lvl w:ilvl="5" w:tplc="F83E0F54">
      <w:start w:val="1"/>
      <w:numFmt w:val="lowerRoman"/>
      <w:lvlText w:val="%6."/>
      <w:lvlJc w:val="right"/>
      <w:pPr>
        <w:ind w:left="4320" w:hanging="180"/>
      </w:pPr>
    </w:lvl>
    <w:lvl w:ilvl="6" w:tplc="81F89166">
      <w:start w:val="1"/>
      <w:numFmt w:val="decimal"/>
      <w:lvlText w:val="%7."/>
      <w:lvlJc w:val="left"/>
      <w:pPr>
        <w:ind w:left="5040" w:hanging="360"/>
      </w:pPr>
    </w:lvl>
    <w:lvl w:ilvl="7" w:tplc="7FCE7780">
      <w:start w:val="1"/>
      <w:numFmt w:val="lowerLetter"/>
      <w:lvlText w:val="%8."/>
      <w:lvlJc w:val="left"/>
      <w:pPr>
        <w:ind w:left="5760" w:hanging="360"/>
      </w:pPr>
    </w:lvl>
    <w:lvl w:ilvl="8" w:tplc="E88E57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C2AFC"/>
    <w:multiLevelType w:val="hybridMultilevel"/>
    <w:tmpl w:val="7926226E"/>
    <w:lvl w:ilvl="0" w:tplc="2690B5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BB40F49E">
      <w:start w:val="1"/>
      <w:numFmt w:val="lowerLetter"/>
      <w:lvlText w:val="%2."/>
      <w:lvlJc w:val="left"/>
      <w:pPr>
        <w:ind w:left="1440" w:hanging="360"/>
      </w:pPr>
    </w:lvl>
    <w:lvl w:ilvl="2" w:tplc="D91E093C">
      <w:start w:val="1"/>
      <w:numFmt w:val="lowerRoman"/>
      <w:lvlText w:val="%3."/>
      <w:lvlJc w:val="right"/>
      <w:pPr>
        <w:ind w:left="2160" w:hanging="180"/>
      </w:pPr>
    </w:lvl>
    <w:lvl w:ilvl="3" w:tplc="97D2F18C">
      <w:start w:val="1"/>
      <w:numFmt w:val="decimal"/>
      <w:lvlText w:val="%4."/>
      <w:lvlJc w:val="left"/>
      <w:pPr>
        <w:ind w:left="2880" w:hanging="360"/>
      </w:pPr>
    </w:lvl>
    <w:lvl w:ilvl="4" w:tplc="202EE5AC">
      <w:start w:val="1"/>
      <w:numFmt w:val="lowerLetter"/>
      <w:lvlText w:val="%5."/>
      <w:lvlJc w:val="left"/>
      <w:pPr>
        <w:ind w:left="3600" w:hanging="360"/>
      </w:pPr>
    </w:lvl>
    <w:lvl w:ilvl="5" w:tplc="AEE8AE74">
      <w:start w:val="1"/>
      <w:numFmt w:val="lowerRoman"/>
      <w:lvlText w:val="%6."/>
      <w:lvlJc w:val="right"/>
      <w:pPr>
        <w:ind w:left="4320" w:hanging="180"/>
      </w:pPr>
    </w:lvl>
    <w:lvl w:ilvl="6" w:tplc="07E2C02A">
      <w:start w:val="1"/>
      <w:numFmt w:val="decimal"/>
      <w:lvlText w:val="%7."/>
      <w:lvlJc w:val="left"/>
      <w:pPr>
        <w:ind w:left="5040" w:hanging="360"/>
      </w:pPr>
    </w:lvl>
    <w:lvl w:ilvl="7" w:tplc="BC522200">
      <w:start w:val="1"/>
      <w:numFmt w:val="lowerLetter"/>
      <w:lvlText w:val="%8."/>
      <w:lvlJc w:val="left"/>
      <w:pPr>
        <w:ind w:left="5760" w:hanging="360"/>
      </w:pPr>
    </w:lvl>
    <w:lvl w:ilvl="8" w:tplc="E548B9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2A8C"/>
    <w:multiLevelType w:val="hybridMultilevel"/>
    <w:tmpl w:val="FE2C6B58"/>
    <w:lvl w:ilvl="0" w:tplc="766435CE">
      <w:start w:val="1"/>
      <w:numFmt w:val="decimal"/>
      <w:lvlText w:val="%1."/>
      <w:lvlJc w:val="left"/>
      <w:pPr>
        <w:ind w:left="720" w:hanging="360"/>
      </w:pPr>
    </w:lvl>
    <w:lvl w:ilvl="1" w:tplc="A7887B54">
      <w:start w:val="1"/>
      <w:numFmt w:val="lowerLetter"/>
      <w:lvlText w:val="%2."/>
      <w:lvlJc w:val="left"/>
      <w:pPr>
        <w:ind w:left="1440" w:hanging="360"/>
      </w:pPr>
    </w:lvl>
    <w:lvl w:ilvl="2" w:tplc="DE8ADE82">
      <w:start w:val="1"/>
      <w:numFmt w:val="lowerRoman"/>
      <w:lvlText w:val="%3."/>
      <w:lvlJc w:val="right"/>
      <w:pPr>
        <w:ind w:left="2160" w:hanging="180"/>
      </w:pPr>
    </w:lvl>
    <w:lvl w:ilvl="3" w:tplc="B0A64CCC">
      <w:start w:val="1"/>
      <w:numFmt w:val="decimal"/>
      <w:lvlText w:val="%4."/>
      <w:lvlJc w:val="left"/>
      <w:pPr>
        <w:ind w:left="360" w:hanging="360"/>
      </w:pPr>
    </w:lvl>
    <w:lvl w:ilvl="4" w:tplc="C2329084">
      <w:start w:val="1"/>
      <w:numFmt w:val="lowerLetter"/>
      <w:lvlText w:val="%5."/>
      <w:lvlJc w:val="left"/>
      <w:pPr>
        <w:ind w:left="3600" w:hanging="360"/>
      </w:pPr>
    </w:lvl>
    <w:lvl w:ilvl="5" w:tplc="B2167876">
      <w:start w:val="1"/>
      <w:numFmt w:val="lowerRoman"/>
      <w:lvlText w:val="%6."/>
      <w:lvlJc w:val="right"/>
      <w:pPr>
        <w:ind w:left="4320" w:hanging="180"/>
      </w:pPr>
    </w:lvl>
    <w:lvl w:ilvl="6" w:tplc="ACFA9684">
      <w:start w:val="1"/>
      <w:numFmt w:val="decimal"/>
      <w:lvlText w:val="%7."/>
      <w:lvlJc w:val="left"/>
      <w:pPr>
        <w:ind w:left="5040" w:hanging="360"/>
      </w:pPr>
    </w:lvl>
    <w:lvl w:ilvl="7" w:tplc="CB2A7F56">
      <w:start w:val="1"/>
      <w:numFmt w:val="lowerLetter"/>
      <w:lvlText w:val="%8."/>
      <w:lvlJc w:val="left"/>
      <w:pPr>
        <w:ind w:left="5760" w:hanging="360"/>
      </w:pPr>
    </w:lvl>
    <w:lvl w:ilvl="8" w:tplc="6DA276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E3"/>
    <w:rsid w:val="005902E3"/>
    <w:rsid w:val="007F0853"/>
    <w:rsid w:val="009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FC48"/>
  <w15:docId w15:val="{CDBD4788-CE31-492E-8CA1-F2F5A146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customStyle="1" w:styleId="210">
    <w:name w:val="Основной текст 2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b/>
      <w:bCs/>
      <w:sz w:val="20"/>
      <w:szCs w:val="20"/>
    </w:rPr>
  </w:style>
  <w:style w:type="paragraph" w:styleId="af6">
    <w:name w:val="No Spacing"/>
    <w:uiPriority w:val="1"/>
    <w:qFormat/>
    <w:pPr>
      <w:spacing w:after="0" w:line="240" w:lineRule="auto"/>
    </w:p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sz w:val="20"/>
      <w:szCs w:val="20"/>
    </w:rPr>
  </w:style>
  <w:style w:type="paragraph" w:styleId="afe">
    <w:name w:val="endnote text"/>
    <w:basedOn w:val="a"/>
    <w:link w:val="aff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paragraph" w:styleId="aff1">
    <w:name w:val="Body Text Indent"/>
    <w:basedOn w:val="a"/>
    <w:link w:val="aff2"/>
    <w:uiPriority w:val="99"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8C65-6F17-4D42-8A39-5EF87063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Company>JSC TGC1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Кадай Марк Александрович</dc:creator>
  <cp:lastModifiedBy>Дубошина Полина Анатольевна</cp:lastModifiedBy>
  <cp:revision>7</cp:revision>
  <dcterms:created xsi:type="dcterms:W3CDTF">2024-05-29T08:53:00Z</dcterms:created>
  <dcterms:modified xsi:type="dcterms:W3CDTF">2025-08-04T12:37:00Z</dcterms:modified>
</cp:coreProperties>
</file>