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jc w:val="right"/>
        <w:spacing w:line="235" w:lineRule="auto"/>
        <w:rPr>
          <w:sz w:val="28"/>
        </w:rPr>
        <w:outlineLvl w:val="0"/>
      </w:pPr>
      <w:r>
        <w:rPr>
          <w:sz w:val="28"/>
        </w:rPr>
        <w:t xml:space="preserve">Приложение № 2</w:t>
      </w:r>
      <w:r>
        <w:rPr>
          <w:sz w:val="28"/>
        </w:rPr>
      </w:r>
    </w:p>
    <w:p>
      <w:pPr>
        <w:ind w:left="4961" w:right="0" w:firstLine="0"/>
        <w:jc w:val="right"/>
        <w:spacing w:line="235" w:lineRule="auto"/>
        <w:rPr>
          <w:sz w:val="28"/>
          <w:szCs w:val="28"/>
        </w:rPr>
      </w:pPr>
      <w:r>
        <w:rPr>
          <w:sz w:val="28"/>
        </w:rPr>
        <w:t xml:space="preserve">к приказу </w:t>
      </w:r>
      <w:r>
        <w:rPr>
          <w:sz w:val="28"/>
        </w:rPr>
      </w:r>
    </w:p>
    <w:p>
      <w:pPr>
        <w:ind w:left="4961" w:right="0" w:firstLine="0"/>
        <w:jc w:val="right"/>
        <w:spacing w:line="235" w:lineRule="auto"/>
        <w:rPr>
          <w:sz w:val="28"/>
          <w:szCs w:val="28"/>
        </w:rPr>
      </w:pPr>
      <w:r>
        <w:rPr>
          <w:sz w:val="28"/>
        </w:rPr>
        <w:t xml:space="preserve">ООО «Газпром теплоэнерго Киров»</w:t>
      </w:r>
      <w:r>
        <w:rPr>
          <w:sz w:val="28"/>
        </w:rPr>
      </w:r>
      <w:r>
        <w:rPr>
          <w:sz w:val="28"/>
          <w:szCs w:val="28"/>
        </w:rPr>
      </w:r>
    </w:p>
    <w:p>
      <w:pPr>
        <w:ind w:left="4961" w:right="0" w:firstLine="0"/>
        <w:jc w:val="right"/>
        <w:spacing w:line="235" w:lineRule="auto"/>
        <w:rPr>
          <w:sz w:val="28"/>
          <w:szCs w:val="28"/>
        </w:rPr>
      </w:pPr>
      <w:r>
        <w:rPr>
          <w:sz w:val="28"/>
        </w:rPr>
      </w:r>
      <w:r>
        <w:rPr>
          <w:sz w:val="28"/>
        </w:rPr>
        <w:t xml:space="preserve">от «10» февраля 2025 г. № 24/2025-ПР</w:t>
      </w:r>
      <w:r>
        <w:rPr>
          <w:sz w:val="28"/>
          <w:szCs w:val="28"/>
        </w:rPr>
      </w:r>
      <w:r/>
    </w:p>
    <w:p>
      <w:pPr>
        <w:spacing w:line="235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93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КОДЕКС</w:t>
      </w:r>
      <w:r>
        <w:rPr>
          <w:rFonts w:ascii="Times New Roman" w:hAnsi="Times New Roman" w:cs="Times New Roman"/>
        </w:rPr>
      </w:r>
    </w:p>
    <w:p>
      <w:pPr>
        <w:pStyle w:val="693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поведения поставщика (подрядчика, исполнителя)</w:t>
      </w:r>
      <w:r>
        <w:rPr>
          <w:rFonts w:ascii="Times New Roman" w:hAnsi="Times New Roman" w:cs="Times New Roman"/>
        </w:rPr>
      </w:r>
    </w:p>
    <w:p>
      <w:pPr>
        <w:pStyle w:val="693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АО «Газпром теплоэнерго» и компаний Группы Газпром теплоэнерго</w:t>
      </w:r>
      <w:r>
        <w:rPr>
          <w:rFonts w:ascii="Times New Roman" w:hAnsi="Times New Roman" w:cs="Times New Roman"/>
        </w:rPr>
      </w:r>
    </w:p>
    <w:p>
      <w:pPr>
        <w:pStyle w:val="693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3"/>
        <w:numPr>
          <w:ilvl w:val="0"/>
          <w:numId w:val="1"/>
        </w:numPr>
        <w:spacing w:before="0" w:line="240" w:lineRule="auto"/>
        <w:shd w:val="clear" w:color="auto" w:fill="auto"/>
        <w:tabs>
          <w:tab w:val="left" w:pos="42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Общие положения</w:t>
      </w:r>
      <w:r>
        <w:rPr>
          <w:rFonts w:ascii="Times New Roman" w:hAnsi="Times New Roman" w:cs="Times New Roman"/>
        </w:rPr>
      </w:r>
    </w:p>
    <w:p>
      <w:pPr>
        <w:pStyle w:val="693"/>
        <w:jc w:val="left"/>
        <w:spacing w:before="0" w:line="240" w:lineRule="auto"/>
        <w:shd w:val="clear" w:color="auto" w:fill="auto"/>
        <w:tabs>
          <w:tab w:val="left" w:pos="355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4"/>
        <w:numPr>
          <w:ilvl w:val="1"/>
          <w:numId w:val="1"/>
        </w:numPr>
        <w:ind w:firstLine="709"/>
        <w:spacing w:before="0" w:line="240" w:lineRule="auto"/>
        <w:shd w:val="clear" w:color="auto" w:fill="auto"/>
        <w:tabs>
          <w:tab w:val="left" w:pos="128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Принимая во внимание значимость роли поставщиков (подря</w:t>
      </w:r>
      <w:r>
        <w:rPr>
          <w:rFonts w:ascii="Times New Roman" w:hAnsi="Times New Roman" w:cs="Times New Roman"/>
        </w:rPr>
        <w:t xml:space="preserve">дчиков, исполнителей), привлекаемых АО «Газпром теплоэнерго» и компаниями Группы Газпром теплоэнерго в рамках реализации своих целей, задач и направлений деятельности, а также в целях повышения уровня доверия к таким поставщикам (подрядчикам, исполнителям)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настоящим Кодексом устанавливаются общие принципы их поведения при поставке товаров (выполнении работ, оказании услуг) для нужд Группы Газпром теплоэнерго в рамках исполнения условий заключенных с ними договоров.</w:t>
      </w:r>
      <w:r>
        <w:rPr>
          <w:rFonts w:ascii="Times New Roman" w:hAnsi="Times New Roman" w:cs="Times New Roman"/>
        </w:rPr>
      </w:r>
    </w:p>
    <w:p>
      <w:pPr>
        <w:pStyle w:val="694"/>
        <w:numPr>
          <w:ilvl w:val="1"/>
          <w:numId w:val="1"/>
        </w:numPr>
        <w:ind w:firstLine="709"/>
        <w:spacing w:before="0" w:line="240" w:lineRule="auto"/>
        <w:shd w:val="clear" w:color="auto" w:fill="auto"/>
        <w:tabs>
          <w:tab w:val="left" w:pos="1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Кодекс представляет собой общедоступный документ, размещенный в сети Интернет на официальном сайте АО «Газпром теплоэнерго».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Кодекс также может быть размещен на официальных сайтах компаний Группы Газпром теплоэнерго.</w:t>
      </w:r>
      <w:r>
        <w:rPr>
          <w:rFonts w:ascii="Times New Roman" w:hAnsi="Times New Roman" w:cs="Times New Roman"/>
        </w:rPr>
      </w:r>
    </w:p>
    <w:p>
      <w:pPr>
        <w:pStyle w:val="694"/>
        <w:numPr>
          <w:ilvl w:val="1"/>
          <w:numId w:val="1"/>
        </w:numPr>
        <w:ind w:firstLine="709"/>
        <w:spacing w:before="0" w:line="240" w:lineRule="auto"/>
        <w:shd w:val="clear" w:color="auto" w:fill="auto"/>
        <w:tabs>
          <w:tab w:val="left" w:pos="1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Положения настоящего Кодекса носят для поставщиков (подрядчиков, исполнителей) - юридических и физических лиц (в том числе индивидуальных предпринимателей) (далее вместе - Исполнители) - рекомендательный характер.</w:t>
      </w:r>
      <w:r>
        <w:rPr>
          <w:rFonts w:ascii="Times New Roman" w:hAnsi="Times New Roman" w:cs="Times New Roman"/>
        </w:rPr>
      </w:r>
    </w:p>
    <w:p>
      <w:pPr>
        <w:pStyle w:val="694"/>
        <w:numPr>
          <w:ilvl w:val="1"/>
          <w:numId w:val="1"/>
        </w:numPr>
        <w:ind w:firstLine="709"/>
        <w:spacing w:before="0" w:line="240" w:lineRule="auto"/>
        <w:shd w:val="clear" w:color="auto" w:fill="auto"/>
        <w:tabs>
          <w:tab w:val="left" w:pos="1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Нормы наст</w:t>
      </w:r>
      <w:r>
        <w:rPr>
          <w:rFonts w:ascii="Times New Roman" w:hAnsi="Times New Roman" w:cs="Times New Roman"/>
        </w:rPr>
        <w:t xml:space="preserve">оящего Кодекса основаны на общих принципах гражданского права, включая принципы признания равенства участников коммерческого оборота, неприкосновенности собственности, свободы договора, недопустимости произвольного вмешательства кого-либо в частные дела, н</w:t>
      </w:r>
      <w:r>
        <w:rPr>
          <w:rFonts w:ascii="Times New Roman" w:hAnsi="Times New Roman" w:cs="Times New Roman"/>
        </w:rPr>
        <w:t xml:space="preserve">еобходимости беспрепятственного осуществления гражданских прав, обеспечения восстановления нарушенных прав, их судебной защиты, а также на принципах разумности и добросовестности Исполнителей независимо от применения или неприменения ими положений настояще</w:t>
      </w:r>
      <w:r>
        <w:rPr>
          <w:rFonts w:ascii="Times New Roman" w:hAnsi="Times New Roman" w:cs="Times New Roman"/>
        </w:rPr>
        <w:t xml:space="preserve">го Кодекса, и направлены на развитие взаимодействия между АО «Газпром теплоэнерго», компаниями Группы Газпром теплоэнерго и Исполнителями на основе справедливого, делового, взаимовыгодного сотрудничества, равноправного партнерства, а также на формирование </w:t>
      </w:r>
      <w:r>
        <w:rPr>
          <w:rFonts w:ascii="Times New Roman" w:hAnsi="Times New Roman" w:cs="Times New Roman"/>
        </w:rPr>
        <w:t xml:space="preserve">клиентоориентированного</w:t>
      </w:r>
      <w:r>
        <w:rPr>
          <w:rFonts w:ascii="Times New Roman" w:hAnsi="Times New Roman" w:cs="Times New Roman"/>
        </w:rPr>
        <w:t xml:space="preserve"> поведения Исполнителей.</w:t>
      </w:r>
      <w:r>
        <w:rPr>
          <w:rFonts w:ascii="Times New Roman" w:hAnsi="Times New Roman" w:cs="Times New Roman"/>
        </w:rPr>
      </w:r>
    </w:p>
    <w:p>
      <w:pPr>
        <w:pStyle w:val="694"/>
        <w:spacing w:before="0" w:line="240" w:lineRule="auto"/>
        <w:shd w:val="clear" w:color="auto" w:fill="auto"/>
        <w:tabs>
          <w:tab w:val="left" w:pos="1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3"/>
        <w:numPr>
          <w:ilvl w:val="0"/>
          <w:numId w:val="1"/>
        </w:numPr>
        <w:spacing w:before="0" w:line="240" w:lineRule="auto"/>
        <w:shd w:val="clear" w:color="auto" w:fill="auto"/>
        <w:tabs>
          <w:tab w:val="left" w:pos="42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Термины и определения</w:t>
      </w:r>
      <w:r>
        <w:rPr>
          <w:rFonts w:ascii="Times New Roman" w:hAnsi="Times New Roman" w:cs="Times New Roman"/>
        </w:rPr>
      </w:r>
    </w:p>
    <w:p>
      <w:pPr>
        <w:pStyle w:val="693"/>
        <w:jc w:val="left"/>
        <w:spacing w:before="0" w:line="240" w:lineRule="auto"/>
        <w:shd w:val="clear" w:color="auto" w:fill="auto"/>
        <w:tabs>
          <w:tab w:val="left" w:pos="310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4"/>
        <w:numPr>
          <w:ilvl w:val="1"/>
          <w:numId w:val="1"/>
        </w:numPr>
        <w:ind w:firstLine="709"/>
        <w:spacing w:before="0" w:line="240" w:lineRule="auto"/>
        <w:shd w:val="clear" w:color="auto" w:fill="auto"/>
        <w:tabs>
          <w:tab w:val="left" w:pos="1395" w:leader="none"/>
        </w:tabs>
        <w:rPr>
          <w:rFonts w:ascii="Times New Roman" w:hAnsi="Times New Roman" w:cs="Times New Roman"/>
        </w:rPr>
      </w:pPr>
      <w:r>
        <w:rPr>
          <w:rStyle w:val="691"/>
          <w:rFonts w:eastAsiaTheme="minorHAnsi"/>
        </w:rPr>
        <w:t xml:space="preserve">Группа Газпром теплоэнерго </w:t>
      </w:r>
      <w:r>
        <w:rPr>
          <w:rFonts w:ascii="Times New Roman" w:hAnsi="Times New Roman" w:cs="Times New Roman"/>
        </w:rPr>
        <w:t xml:space="preserve">– АО «Газпром теплоэнерго» и компании Группы Газпром теплоэнерго.</w:t>
      </w:r>
      <w:r>
        <w:rPr>
          <w:rFonts w:ascii="Times New Roman" w:hAnsi="Times New Roman" w:cs="Times New Roman"/>
        </w:rPr>
      </w:r>
    </w:p>
    <w:p>
      <w:pPr>
        <w:pStyle w:val="694"/>
        <w:numPr>
          <w:ilvl w:val="1"/>
          <w:numId w:val="1"/>
        </w:numPr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Style w:val="691"/>
          <w:rFonts w:eastAsiaTheme="minorHAnsi"/>
        </w:rPr>
        <w:t xml:space="preserve">Поведение Исполнителя </w:t>
      </w:r>
      <w:r>
        <w:rPr>
          <w:rFonts w:ascii="Times New Roman" w:hAnsi="Times New Roman" w:cs="Times New Roman"/>
        </w:rPr>
        <w:t xml:space="preserve">- поведение в рамках осуществления профессиональной предпринимательской деятельности, основанное на системе </w:t>
      </w:r>
      <w:r>
        <w:rPr>
          <w:rFonts w:ascii="Times New Roman" w:hAnsi="Times New Roman" w:cs="Times New Roman"/>
        </w:rPr>
        <w:t xml:space="preserve">принципов, рекомендованных настоящим Кодексом для руководства при исполнении договоров.</w:t>
      </w:r>
      <w:r>
        <w:rPr>
          <w:rFonts w:ascii="Times New Roman" w:hAnsi="Times New Roman" w:cs="Times New Roman"/>
        </w:rPr>
      </w:r>
    </w:p>
    <w:p>
      <w:pPr>
        <w:pStyle w:val="694"/>
        <w:ind w:left="800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"/>
        </w:numPr>
        <w:jc w:val="center"/>
        <w:keepLines/>
        <w:keepNext/>
        <w:spacing w:before="0" w:line="240" w:lineRule="auto"/>
        <w:shd w:val="clear" w:color="auto" w:fill="auto"/>
        <w:tabs>
          <w:tab w:val="left" w:pos="426" w:leader="none"/>
        </w:tabs>
        <w:rPr>
          <w:rFonts w:ascii="Times New Roman" w:hAnsi="Times New Roman" w:cs="Times New Roman"/>
        </w:rPr>
      </w:pPr>
      <w:r/>
      <w:bookmarkStart w:id="0" w:name="bookmark7"/>
      <w:r>
        <w:rPr>
          <w:rFonts w:ascii="Times New Roman" w:hAnsi="Times New Roman" w:cs="Times New Roman"/>
        </w:rPr>
        <w:t xml:space="preserve">Принципы поведения исполнителей</w:t>
      </w:r>
      <w:bookmarkEnd w:id="0"/>
      <w:r/>
      <w:r>
        <w:rPr>
          <w:rFonts w:ascii="Times New Roman" w:hAnsi="Times New Roman" w:cs="Times New Roman"/>
        </w:rPr>
      </w:r>
    </w:p>
    <w:p>
      <w:pPr>
        <w:pStyle w:val="694"/>
        <w:ind w:firstLine="800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Исполнители при осуществлении деятельности придерживаются следующих принципов: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соответствие профессиональной деятельности требованиям применимого законодательства, техническим нормам и правилам, стандартам, договорным обязательствам;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открытость к взаимодействию и сотрудничеству на основе равноправного партнерства и уважения взаимных интересов, гибкости в экономической деятельности;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внесение вклада в социально-экономическое развитие Российской Федерации;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социальная справедливость во взаимоотношениях с работниками;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ответственная социальная политика в регионах присутствия с учетом уважения к культурному наследию и традициям;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участие в развитии инфраструктуры регионов присутствия;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совершенствование технологического и кадрового потенциала.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5"/>
        <w:numPr>
          <w:ilvl w:val="0"/>
          <w:numId w:val="1"/>
        </w:numPr>
        <w:jc w:val="center"/>
        <w:keepLines/>
        <w:keepNext/>
        <w:spacing w:before="0" w:line="240" w:lineRule="auto"/>
        <w:shd w:val="clear" w:color="auto" w:fill="auto"/>
        <w:tabs>
          <w:tab w:val="left" w:pos="426" w:leader="none"/>
          <w:tab w:val="left" w:pos="1044" w:leader="none"/>
        </w:tabs>
        <w:rPr>
          <w:rFonts w:ascii="Times New Roman" w:hAnsi="Times New Roman" w:cs="Times New Roman"/>
        </w:rPr>
      </w:pPr>
      <w:r/>
      <w:bookmarkStart w:id="1" w:name="bookmark8"/>
      <w:r>
        <w:rPr>
          <w:rFonts w:ascii="Times New Roman" w:hAnsi="Times New Roman" w:cs="Times New Roman"/>
        </w:rPr>
        <w:t xml:space="preserve">Основные положения поведения исполнителей</w:t>
      </w:r>
      <w:bookmarkEnd w:id="1"/>
      <w:r/>
      <w:r>
        <w:rPr>
          <w:rFonts w:ascii="Times New Roman" w:hAnsi="Times New Roman" w:cs="Times New Roman"/>
        </w:rPr>
      </w:r>
    </w:p>
    <w:p>
      <w:pPr>
        <w:pStyle w:val="695"/>
        <w:keepLines/>
        <w:keepNext/>
        <w:spacing w:before="0" w:line="240" w:lineRule="auto"/>
        <w:shd w:val="clear" w:color="auto" w:fill="auto"/>
        <w:tabs>
          <w:tab w:val="left" w:pos="104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4"/>
        <w:numPr>
          <w:ilvl w:val="1"/>
          <w:numId w:val="1"/>
        </w:numPr>
        <w:ind w:firstLine="709"/>
        <w:spacing w:before="0" w:line="240" w:lineRule="auto"/>
        <w:shd w:val="clear" w:color="auto" w:fill="auto"/>
        <w:tabs>
          <w:tab w:val="left" w:pos="1281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сфере трудовых отношений, состояния условий и охраны труда Исполнители обеспечивают соблюдение норм действующего законодательства, в частности: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не допускают принудительного труда и дискриминации в сфере труда, в том числе по расовому признаку, полу, цвету кожи, национальности, религии, возрасту, членству в профсоюзах и другим обстоятельствам, не связанным с деловыми качествами работников;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осуществляют выплату работникам справедливой заработной платы и реализов</w:t>
      </w:r>
      <w:r>
        <w:rPr>
          <w:rFonts w:ascii="Times New Roman" w:hAnsi="Times New Roman" w:cs="Times New Roman"/>
        </w:rPr>
        <w:t xml:space="preserve">ывают меры социальной поддержки;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проводят мероприятия по улучшению условий труда и охраны труда, по предупреждению производственного травматизма и профессиональных заболеваний, по обучению работников по охране труда, в том числе обучени</w:t>
      </w:r>
      <w:r>
        <w:rPr>
          <w:rFonts w:ascii="Times New Roman" w:hAnsi="Times New Roman" w:cs="Times New Roman"/>
        </w:rPr>
        <w:t xml:space="preserve">ю</w:t>
      </w:r>
      <w:r>
        <w:rPr>
          <w:rFonts w:ascii="Times New Roman" w:hAnsi="Times New Roman" w:cs="Times New Roman"/>
        </w:rPr>
        <w:t xml:space="preserve"> безопасным методам и приемам выполнения работ;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обеспечивают безопасные условия и охрану труда, создание и функционирование системы управления охраной труда;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обеспе</w:t>
      </w:r>
      <w:r>
        <w:rPr>
          <w:rFonts w:ascii="Times New Roman" w:hAnsi="Times New Roman" w:cs="Times New Roman"/>
        </w:rPr>
        <w:t xml:space="preserve">чивают соответствие рабочих мест требованиям охраны труда,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обеспечивают право работников на объединение для защиты своих интересов, включая создание и вступление в профессиональные союзы, ведение коллективных переговоров и заключение коллективных договоров.</w:t>
      </w:r>
      <w:r>
        <w:rPr>
          <w:rFonts w:ascii="Times New Roman" w:hAnsi="Times New Roman" w:cs="Times New Roman"/>
        </w:rPr>
      </w:r>
    </w:p>
    <w:p>
      <w:pPr>
        <w:pStyle w:val="694"/>
        <w:numPr>
          <w:ilvl w:val="1"/>
          <w:numId w:val="1"/>
        </w:numPr>
        <w:ind w:firstLine="709"/>
        <w:spacing w:before="0" w:line="240" w:lineRule="auto"/>
        <w:shd w:val="clear" w:color="auto" w:fill="auto"/>
        <w:tabs>
          <w:tab w:val="left" w:pos="125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области промышленной и пожарной безопасности, охраны </w:t>
      </w:r>
      <w:r>
        <w:rPr>
          <w:rFonts w:ascii="Times New Roman" w:hAnsi="Times New Roman" w:cs="Times New Roman"/>
        </w:rPr>
        <w:t xml:space="preserve">окружающей среды Исполнители обеспечивают соблюдение норм действующего законодательства, в частности</w:t>
      </w:r>
      <w:r>
        <w:rPr>
          <w:rFonts w:ascii="Times New Roman" w:hAnsi="Times New Roman" w:cs="Times New Roman"/>
        </w:rPr>
        <w:t xml:space="preserve">,</w:t>
      </w:r>
      <w:bookmarkStart w:id="2" w:name="_GoBack"/>
      <w:r/>
      <w:bookmarkEnd w:id="2"/>
      <w:r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беспечивают безопасность производственных процессов и применения передовых практик в сфере промышленной и пожарной безопасности, охраны окружающей среды, в том числе, в части: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соблюдения требований по безопасному ведению работ, требо</w:t>
      </w:r>
      <w:r>
        <w:rPr>
          <w:rFonts w:ascii="Times New Roman" w:hAnsi="Times New Roman" w:cs="Times New Roman"/>
        </w:rPr>
        <w:t xml:space="preserve">ваний промышленной безопасности при эксплуатации опасных производственных объектов, разработки мер, направленных на улучшение состояния промышленной безопасности (предупреждение аварий, инцидентов и несчастных случаев на опасных производственных объектах);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подготовки и аттестации работников в области промышленной безопасности, обучения работников действиям в случае аварии или инцидента на опасном производственном объекте;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соблюдения требований пожарной безопасности, включая разработку и осуществление мер пожарной безопасности, обучение работников мерам пожарной безопасности, содержание в исправном состоянии системы и средства противопожарной защиты;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выполнения обязательств по минимизации негативного воздействия на окружающую среду, оказываемого в процессе осуществления хозяйственной деятельности;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соблюдения правил производства, хранения, транспортировки, применения, захоронения радиоактивных веществ и ядерных материалов, химических веществ;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внедрения мероприятий по повышению энергетической эффективности.</w:t>
      </w:r>
      <w:r>
        <w:rPr>
          <w:rFonts w:ascii="Times New Roman" w:hAnsi="Times New Roman" w:cs="Times New Roman"/>
        </w:rPr>
      </w:r>
    </w:p>
    <w:p>
      <w:pPr>
        <w:pStyle w:val="694"/>
        <w:numPr>
          <w:ilvl w:val="1"/>
          <w:numId w:val="1"/>
        </w:numPr>
        <w:ind w:firstLine="709"/>
        <w:spacing w:before="0" w:line="240" w:lineRule="auto"/>
        <w:shd w:val="clear" w:color="auto" w:fill="auto"/>
        <w:tabs>
          <w:tab w:val="left" w:pos="12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области обеспечения качества и безопасности товаров (работ, услуг) Исполнители выполняют требования действующего законодатель</w:t>
      </w:r>
      <w:r>
        <w:rPr>
          <w:rFonts w:ascii="Times New Roman" w:hAnsi="Times New Roman" w:cs="Times New Roman"/>
        </w:rPr>
        <w:t xml:space="preserve">ства Российской Федерации, предъявляемые к безопасности и качеству поставляемых товаров (выполняемых работ, оказываемых услуг), в том числе обеспечивают раскрытие информации о составе и характеристиках поставляемой продукции (сертификаты и иные документы).</w:t>
      </w:r>
      <w:r>
        <w:rPr>
          <w:rFonts w:ascii="Times New Roman" w:hAnsi="Times New Roman" w:cs="Times New Roman"/>
        </w:rPr>
      </w:r>
    </w:p>
    <w:p>
      <w:pPr>
        <w:pStyle w:val="694"/>
        <w:numPr>
          <w:ilvl w:val="1"/>
          <w:numId w:val="1"/>
        </w:numPr>
        <w:ind w:firstLine="709"/>
        <w:spacing w:before="0" w:line="240" w:lineRule="auto"/>
        <w:shd w:val="clear" w:color="auto" w:fill="auto"/>
        <w:tabs>
          <w:tab w:val="left" w:pos="125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сфере противодействия коррупции и исключения конфликта интересов Исполнители: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соблюдают требования законодательства Российской Федерации, общепризнанных принципов и норм международного права, международных дого</w:t>
      </w:r>
      <w:r>
        <w:rPr>
          <w:rFonts w:ascii="Times New Roman" w:hAnsi="Times New Roman" w:cs="Times New Roman"/>
        </w:rPr>
        <w:t xml:space="preserve">воров, ратифицированных Российской Федерации, антикоррупционных стандартов, принятых в ПАО «Газпром», а также соблюдают антикоррупционные положения договоров, заключаемых в рамках деятельности АО «Газпром теплоэнерго» и компаний Группы Газпром теплоэнерго;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 </w:t>
      </w:r>
      <w:r>
        <w:rPr>
          <w:rFonts w:ascii="Times New Roman" w:hAnsi="Times New Roman" w:cs="Times New Roman"/>
        </w:rPr>
        <w:t xml:space="preserve">исключают условия, способствующие совершению работниками сторон по договору коррупционных правонарушений</w:t>
      </w:r>
      <w:r>
        <w:rPr>
          <w:rStyle w:val="698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,</w:t>
      </w:r>
      <w:r>
        <w:t xml:space="preserve"> </w:t>
      </w:r>
      <w:r>
        <w:rPr>
          <w:rFonts w:ascii="Times New Roman" w:hAnsi="Times New Roman" w:cs="Times New Roman"/>
        </w:rPr>
        <w:t xml:space="preserve">а также принимают меры по предотвращению и своевременному урегулированию возникающих конфликтов интересов;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 </w:t>
      </w:r>
      <w:r>
        <w:rPr>
          <w:rFonts w:ascii="Times New Roman" w:hAnsi="Times New Roman" w:cs="Times New Roman"/>
        </w:rPr>
        <w:t xml:space="preserve">своевременно увед</w:t>
      </w:r>
      <w:r>
        <w:rPr>
          <w:rFonts w:ascii="Times New Roman" w:hAnsi="Times New Roman" w:cs="Times New Roman"/>
        </w:rPr>
        <w:t xml:space="preserve">омляют представителей АО «Газпром теплоэнерго» и компаний Группы Газпром теплоэнерго об условиях, способствующих совершению работниками сторон по договору коррупционных правонарушений, возникновению конфликта интересов, фактах коррупционных правонарушений.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4"/>
        <w:jc w:val="center"/>
        <w:spacing w:before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5. </w:t>
      </w:r>
      <w:r>
        <w:rPr>
          <w:rFonts w:ascii="Times New Roman" w:hAnsi="Times New Roman" w:cs="Times New Roman"/>
          <w:b/>
        </w:rPr>
        <w:t xml:space="preserve">Соблюдение основ деловой корпоративной этики</w:t>
      </w:r>
      <w:r>
        <w:rPr>
          <w:rFonts w:ascii="Times New Roman" w:hAnsi="Times New Roman" w:cs="Times New Roman"/>
          <w:b/>
        </w:rPr>
      </w:r>
    </w:p>
    <w:p>
      <w:pPr>
        <w:pStyle w:val="694"/>
        <w:ind w:firstLine="709"/>
        <w:jc w:val="center"/>
        <w:spacing w:before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АО «Газпром теплоэнерго»</w:t>
      </w:r>
      <w:r>
        <w:rPr>
          <w:rFonts w:ascii="Times New Roman" w:hAnsi="Times New Roman" w:cs="Times New Roman"/>
          <w:b/>
        </w:rPr>
      </w:r>
    </w:p>
    <w:p>
      <w:pPr>
        <w:pStyle w:val="694"/>
        <w:ind w:firstLine="709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</w:t>
      </w:r>
      <w:r>
        <w:rPr>
          <w:rFonts w:ascii="Times New Roman" w:hAnsi="Times New Roman" w:cs="Times New Roman"/>
        </w:rPr>
        <w:t xml:space="preserve"> </w:t>
      </w:r>
      <w:r>
        <w:rPr>
          <w:rFonts w:ascii="Times New Roman" w:hAnsi="Times New Roman" w:cs="Times New Roman"/>
        </w:rPr>
        <w:t xml:space="preserve">В АО «Газпром теплоэнерго» действует Кодекс корпоративной этики АО «Газпром теплоэнерго», закре</w:t>
      </w:r>
      <w:r>
        <w:rPr>
          <w:rFonts w:ascii="Times New Roman" w:hAnsi="Times New Roman" w:cs="Times New Roman"/>
        </w:rPr>
        <w:t xml:space="preserve">пляющий корпоративные ценности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АО «Газпром теплоэнерго» и определяющий основанные на н</w:t>
      </w:r>
      <w:r>
        <w:rPr>
          <w:rFonts w:ascii="Times New Roman" w:hAnsi="Times New Roman" w:cs="Times New Roman"/>
        </w:rPr>
        <w:t xml:space="preserve">их и принятые в АО «Газпром теплоэнерго» наиболее важные правила делового поведения. Положения Кодекса корпоративной этики АО «Газпром теплоэнерго» послужили базовой основой для разработки кодексов корпоративной этики компаниями Группы Газпром теплоэнерго.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</w:t>
      </w:r>
      <w:r>
        <w:rPr>
          <w:rFonts w:ascii="Times New Roman" w:hAnsi="Times New Roman" w:cs="Times New Roman"/>
        </w:rPr>
        <w:t xml:space="preserve"> </w:t>
      </w:r>
      <w:r>
        <w:rPr>
          <w:rFonts w:ascii="Times New Roman" w:hAnsi="Times New Roman" w:cs="Times New Roman"/>
        </w:rPr>
        <w:t xml:space="preserve">Исходя из общепринятой практики, Группа Газпром теплоэнерго основывается на понимании, что аналогичные принципы делового поведения и корпоративной этики разработаны и внедрены у Исполнителей.</w:t>
      </w:r>
      <w:r>
        <w:rPr>
          <w:rFonts w:ascii="Times New Roman" w:hAnsi="Times New Roman" w:cs="Times New Roman"/>
        </w:rPr>
      </w:r>
    </w:p>
    <w:p>
      <w:pPr>
        <w:pStyle w:val="694"/>
        <w:ind w:firstLine="709"/>
        <w:spacing w:before="0" w:line="240" w:lineRule="auto"/>
        <w:shd w:val="clear" w:color="auto" w:fil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993" w:right="851" w:bottom="851" w:left="1418" w:header="45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696"/>
        <w:jc w:val="both"/>
      </w:pPr>
      <w:r>
        <w:rPr>
          <w:rStyle w:val="698"/>
        </w:rPr>
        <w:footnoteRef/>
      </w:r>
      <w:r>
        <w:t xml:space="preserve"> Под коррупционными правонарушениями понимаются деяния, указанные в Федеральном законе Российской Федерации от 25 октября 2008 г. № 273-ФЗ «О противодействии </w:t>
      </w:r>
      <w:r>
        <w:t xml:space="preserve">коррупции», уголовном, административном законодательстве и иных законодательных актах Российской Федерации (с учетом указаний и разъяснений органов законодательной, судебной и исполнительной власти Российской Федерации в области противодействия коррупции).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42128128"/>
      <w:docPartObj>
        <w:docPartGallery w:val="Page Numbers (Top of Page)"/>
        <w:docPartUnique w:val="true"/>
      </w:docPartObj>
      <w:rPr/>
    </w:sdtPr>
    <w:sdtContent>
      <w:p>
        <w:pPr>
          <w:pStyle w:val="69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5"/>
    <w:next w:val="68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5"/>
    <w:next w:val="68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5"/>
    <w:next w:val="68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5"/>
    <w:next w:val="68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5"/>
    <w:next w:val="68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5"/>
    <w:next w:val="68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5"/>
    <w:next w:val="6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5"/>
    <w:next w:val="68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6"/>
    <w:link w:val="34"/>
    <w:uiPriority w:val="10"/>
    <w:rPr>
      <w:sz w:val="48"/>
      <w:szCs w:val="48"/>
    </w:rPr>
  </w:style>
  <w:style w:type="paragraph" w:styleId="36">
    <w:name w:val="Subtitle"/>
    <w:basedOn w:val="685"/>
    <w:next w:val="68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6"/>
    <w:link w:val="36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6"/>
    <w:link w:val="699"/>
    <w:uiPriority w:val="99"/>
  </w:style>
  <w:style w:type="character" w:styleId="45">
    <w:name w:val="Footer Char"/>
    <w:basedOn w:val="686"/>
    <w:link w:val="701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1"/>
    <w:uiPriority w:val="99"/>
  </w:style>
  <w:style w:type="table" w:styleId="48">
    <w:name w:val="Table Grid"/>
    <w:basedOn w:val="6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96"/>
    <w:uiPriority w:val="99"/>
    <w:rPr>
      <w:sz w:val="18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6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pPr>
      <w:spacing w:after="0" w:line="240" w:lineRule="auto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Char Style 16"/>
    <w:basedOn w:val="686"/>
    <w:link w:val="693"/>
    <w:rPr>
      <w:b/>
      <w:bCs/>
      <w:sz w:val="28"/>
      <w:szCs w:val="28"/>
      <w:shd w:val="clear" w:color="auto" w:fill="ffffff"/>
    </w:rPr>
  </w:style>
  <w:style w:type="character" w:styleId="690" w:customStyle="1">
    <w:name w:val="Char Style 18"/>
    <w:basedOn w:val="686"/>
    <w:link w:val="694"/>
    <w:rPr>
      <w:sz w:val="28"/>
      <w:szCs w:val="28"/>
      <w:shd w:val="clear" w:color="auto" w:fill="ffffff"/>
    </w:rPr>
  </w:style>
  <w:style w:type="character" w:styleId="691" w:customStyle="1">
    <w:name w:val="Char Style 26"/>
    <w:basedOn w:val="690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styleId="692" w:customStyle="1">
    <w:name w:val="Char Style 28"/>
    <w:basedOn w:val="686"/>
    <w:link w:val="695"/>
    <w:rPr>
      <w:b/>
      <w:bCs/>
      <w:sz w:val="28"/>
      <w:szCs w:val="28"/>
      <w:shd w:val="clear" w:color="auto" w:fill="ffffff"/>
    </w:rPr>
  </w:style>
  <w:style w:type="paragraph" w:styleId="693" w:customStyle="1">
    <w:name w:val="Style 12"/>
    <w:basedOn w:val="685"/>
    <w:link w:val="689"/>
    <w:pPr>
      <w:jc w:val="center"/>
      <w:spacing w:before="1080" w:line="326" w:lineRule="exact"/>
      <w:shd w:val="clear" w:color="auto" w:fill="ffffff"/>
    </w:pPr>
    <w:rPr>
      <w:rFonts w:asciiTheme="minorHAnsi" w:hAnsiTheme="minorHAnsi" w:eastAsiaTheme="minorHAnsi" w:cstheme="minorBidi"/>
      <w:b/>
      <w:bCs/>
      <w:color w:val="auto"/>
      <w:sz w:val="28"/>
      <w:szCs w:val="28"/>
      <w:lang w:eastAsia="en-US" w:bidi="ar-SA"/>
    </w:rPr>
  </w:style>
  <w:style w:type="paragraph" w:styleId="694" w:customStyle="1">
    <w:name w:val="Style 17"/>
    <w:basedOn w:val="685"/>
    <w:link w:val="690"/>
    <w:pPr>
      <w:jc w:val="both"/>
      <w:spacing w:before="320" w:line="317" w:lineRule="exact"/>
      <w:shd w:val="clear" w:color="auto" w:fill="ffffff"/>
    </w:pPr>
    <w:rPr>
      <w:rFonts w:asciiTheme="minorHAnsi" w:hAnsiTheme="minorHAnsi" w:eastAsiaTheme="minorHAnsi" w:cstheme="minorBidi"/>
      <w:color w:val="auto"/>
      <w:sz w:val="28"/>
      <w:szCs w:val="28"/>
      <w:lang w:eastAsia="en-US" w:bidi="ar-SA"/>
    </w:rPr>
  </w:style>
  <w:style w:type="paragraph" w:styleId="695" w:customStyle="1">
    <w:name w:val="Style 27"/>
    <w:basedOn w:val="685"/>
    <w:link w:val="692"/>
    <w:pPr>
      <w:spacing w:before="320" w:line="326" w:lineRule="exact"/>
      <w:shd w:val="clear" w:color="auto" w:fill="ffffff"/>
      <w:outlineLvl w:val="4"/>
    </w:pPr>
    <w:rPr>
      <w:rFonts w:asciiTheme="minorHAnsi" w:hAnsiTheme="minorHAnsi" w:eastAsiaTheme="minorHAnsi" w:cstheme="minorBidi"/>
      <w:b/>
      <w:bCs/>
      <w:color w:val="auto"/>
      <w:sz w:val="28"/>
      <w:szCs w:val="28"/>
      <w:lang w:eastAsia="en-US" w:bidi="ar-SA"/>
    </w:rPr>
  </w:style>
  <w:style w:type="paragraph" w:styleId="696">
    <w:name w:val="footnote text"/>
    <w:basedOn w:val="685"/>
    <w:link w:val="697"/>
    <w:uiPriority w:val="99"/>
    <w:semiHidden/>
    <w:unhideWhenUsed/>
    <w:rPr>
      <w:sz w:val="20"/>
      <w:szCs w:val="20"/>
    </w:rPr>
  </w:style>
  <w:style w:type="character" w:styleId="697" w:customStyle="1">
    <w:name w:val="Текст сноски Знак"/>
    <w:basedOn w:val="686"/>
    <w:link w:val="696"/>
    <w:uiPriority w:val="99"/>
    <w:semiHidden/>
    <w:rPr>
      <w:rFonts w:ascii="Times New Roman" w:hAnsi="Times New Roman" w:eastAsia="Times New Roman" w:cs="Times New Roman"/>
      <w:color w:val="000000"/>
      <w:sz w:val="20"/>
      <w:szCs w:val="20"/>
      <w:lang w:eastAsia="ru-RU" w:bidi="ru-RU"/>
    </w:rPr>
  </w:style>
  <w:style w:type="character" w:styleId="698">
    <w:name w:val="footnote reference"/>
    <w:basedOn w:val="686"/>
    <w:uiPriority w:val="99"/>
    <w:semiHidden/>
    <w:unhideWhenUsed/>
    <w:rPr>
      <w:vertAlign w:val="superscript"/>
    </w:rPr>
  </w:style>
  <w:style w:type="paragraph" w:styleId="699">
    <w:name w:val="Header"/>
    <w:basedOn w:val="685"/>
    <w:link w:val="7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0" w:customStyle="1">
    <w:name w:val="Верхний колонтитул Знак"/>
    <w:basedOn w:val="686"/>
    <w:link w:val="699"/>
    <w:uiPriority w:val="99"/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paragraph" w:styleId="701">
    <w:name w:val="Footer"/>
    <w:basedOn w:val="685"/>
    <w:link w:val="7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Нижний колонтитул Знак"/>
    <w:basedOn w:val="686"/>
    <w:link w:val="701"/>
    <w:uiPriority w:val="99"/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7B17-9979-4400-8923-573EB29C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Дубошина Полина Анатольевна</dc:creator>
  <cp:keywords/>
  <dc:description/>
  <cp:revision>7</cp:revision>
  <dcterms:created xsi:type="dcterms:W3CDTF">2025-01-30T06:22:00Z</dcterms:created>
  <dcterms:modified xsi:type="dcterms:W3CDTF">2025-02-13T05:17:55Z</dcterms:modified>
</cp:coreProperties>
</file>